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德天跨国瀑布·通灵大峡谷2日游（北海起止）行程单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CZD1690269357A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北海-大新明仕村-德天瀑布-硕龙/下雷
                <w:br/>
              </w:t>
            </w:r>
          </w:p>
          <w:p>
            <w:pPr>
              <w:pStyle w:val="indent"/>
            </w:pPr>
            <w:r>
              <w:rPr>
                <w:rFonts w:ascii="微软雅黑" w:hAnsi="微软雅黑" w:eastAsia="微软雅黑" w:cs="微软雅黑"/>
                <w:color w:val="000000"/>
                <w:sz w:val="20"/>
                <w:szCs w:val="20"/>
              </w:rPr>
              <w:t xml:space="preserve">
                05:30分在北海华美广场（接团旗号“边关画廊”）集中,乘车前往大新县堪圩乡【明仕村】（行程距离约350公里，车程约4.5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不含景区环保车，费用自理，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2、德天瀑布风景区内接驳车、电瓶车、竹排等均属于景区配套设施项目，供游客了解当地特色文化之用，非团队旅游安排的自费及购物点，敬请知晓！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硕龙/下雷—通灵大峡谷—北海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北海（行程距离约380公里，行驶时间约5小时），抵达北海华美广场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儿童门票：1.2米以下免票；1.2以上按成人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1、德天瀑布景区内电瓶车（单程10元/人）、德天竹排（68元/人）、飞天魔毯（50元/人）、高空滑道（50元/人）、德天接驳车（35元/人）；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¥ 223.00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2024-11-22T02:42:03+08:00</dcterms:created>
  <dcterms:modified xsi:type="dcterms:W3CDTF">2024-11-22T02:42:03+08:00</dcterms:modified>
</cp:coreProperties>
</file>

<file path=docProps/custom.xml><?xml version="1.0" encoding="utf-8"?>
<Properties xmlns="http://schemas.openxmlformats.org/officeDocument/2006/custom-properties" xmlns:vt="http://schemas.openxmlformats.org/officeDocument/2006/docPropsVTypes"/>
</file>