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轻奢游轮3天行程单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YN1711590907lI-1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南宁/北海/防城港-凭祥～下龙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温馨提示：
                <w:br/>
                1、过了越南口岸还要办理15公里处检查过关手续，导游办理期间需要排期等候办理相关手续，因口岸附近无等候点，特安排于口岸附近可提供休息上卫生间的商场休息等待。）
                <w:br/>
                2、自费：因交通管制旅游大巴无法进入口岸范围，需换成电瓶车，费用自理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下龙～凭祥～南宁/北海/防城港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下龙酒店（参考酒店：大宫殿酒店/景帕丁顿或同级）
                <w:br/>
                若出现自然单间时，我社尽量安排三人间或拼房；若客人要求开单间，需要补交单人房差350元/人）
                <w:br/>
                用 餐	行程用餐：2早5正，其中2正*30元/餐+龙虾海鲜餐+越式簸箕餐+游轮自助餐
                <w:br/>
                温馨提示：
                <w:br/>
                1. 越南当地旅游餐厅跟国内餐厅稍有区别，根据餐桌大小一般可分为6-8人一桌，具体以实际安排为准！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 50/人；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2、口岸电瓶车：10元/人/单程
                <w:br/>
                3、越南落地签280元/人
                <w:br/>
                4、越南段讲解器40元/（自理）
                <w:br/>
                5、照片费10元/人（自带照片无效）
                <w:br/>
                6、越南小费：约20-30元/人
                <w:br/>
                7、个人消费及其他费用：行程之外自费项目或所产生的个人费用（如电话、洗衣、饮料等、个人伤病医疗费等）；不可抗力因素所产生的额外费用等。
                <w:br/>
                8.不含意外险，不含境外人身意外险（游客自行购买）；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包含越南单次签证：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其责任游客自行承担，敬请游客须知！
                <w:br/>
                (5)在越南微信支付或支付宝无法使用，请至少携带现金2000元，方便紧急使用。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其责任游客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行程中途经的休息站、加油站、公共卫生间等地停留仅供休息和方便之用，游客购物为个人自主行为，游客因购物产生的纠纷与其责任游客自行承担。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公园、博物馆、展览馆、体验馆、制作工场附设商品销售为景区设施，仅供了解当地特色文化之用，游客购物为个人自主行为，游客因购物产生的纠纷与旅行社，敬请知晓。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2025-01-31T07:54:00+08:00</dcterms:created>
  <dcterms:modified xsi:type="dcterms:W3CDTF">2025-01-31T07:54:00+08:00</dcterms:modified>
</cp:coreProperties>
</file>

<file path=docProps/custom.xml><?xml version="1.0" encoding="utf-8"?>
<Properties xmlns="http://schemas.openxmlformats.org/officeDocument/2006/custom-properties" xmlns:vt="http://schemas.openxmlformats.org/officeDocument/2006/docPropsVTypes"/>
</file>