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3-4月华越南6天（四/五）-凭祥口岸行程单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YN1745716743Sd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温馨的家～南宁/北海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酒店大堂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乘坐下龙湾豪华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此为游轮赠送。部分游轮不赠送，无费用退还），感受【海上音乐派对】（音乐现场表演为游轮赠送，视情况开放。且部分游轮不赠送，无费用退还），嗨翻全场！！体验悠闲的下午时光。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的天然石象立于水中，形似一头大象鼻子伸进水中饮水的巨象，又深深扎入大地之中，惟妙惟肖、灵性暗蕴，象身稳坐于水中，绿树成荫，这是喀斯特地貌的一处象征，如明月浮水，构  成“象山水月”的奇特景观。参观下龙当地【农贸市场】感受当地人民生活气息。人间烟火气，抚凡人心~在这里可以体验各种各式的热带水果，当地特色小吃，也可以自行购买海鲜进行加工(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入住景区【龙门水都】温泉度假村酒店；秋冬时节，温泉泉水晶莹剔透，滑爽如抚锦缎，泡温泉正当时，来到南宁龙门水都温泉，感受这里不同主题的汤池，不一样的疗效与体验。(特别声明：温泉属我社赠送 项目，如为游客主动放弃游览或因天气原因造成无法游览的费用不退)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龙门水都温泉度假村酒店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早餐后根据航班时间于酒店大堂集合，备注：集散地以出团书为准。，乘车前往机场/动车，乘机返回温暖的家，结束此次愉快的旅程！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宿南宁酒店：
                <w:br/>
                南宁酒店1晚（参考酒店：凯旋门、广旅金沙、浦林菲特、景丰酒店或同级酒店）
                <w:br/>
                一晚温泉度假村酒店：龙门水都
                <w:br/>
                 越南段酒店：（越南段酒店2个标准2选1）
                <w:br/>
                下龙酒店3晚参考酒店：（savanna/下龙凤凰/新下龙/THE ONE酒店或同级）
                <w:br/>
                升级后下龙酒店3晚（参考酒店：大宫殿酒店/景帕丁顿或同级）
                <w:br/>
                <w:br/>
                <w:br/>
                <w:br/>
                （行程中用房以安排两人间为标准，若出现自然单间时，我社尽量安排三人间或拼房，如酒店无三人间，若客人要求开单间，需要补交单人房差）
                <w:br/>
                用 餐 行程用餐：5 早 7 正，其中 4 正*30 元/餐+龙虾海鲜餐+越式簸箕餐+下龙游轮自助餐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1、全程单房差：四：500元/人/  五：700元/人；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讲解器租赁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口岸电瓶车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2025-05-23T07:18:16+08:00</dcterms:created>
  <dcterms:modified xsi:type="dcterms:W3CDTF">2025-05-23T07:18:16+08:00</dcterms:modified>
</cp:coreProperties>
</file>

<file path=docProps/custom.xml><?xml version="1.0" encoding="utf-8"?>
<Properties xmlns="http://schemas.openxmlformats.org/officeDocument/2006/custom-properties" xmlns:vt="http://schemas.openxmlformats.org/officeDocument/2006/docPropsVTypes"/>
</file>