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长沙：嘉玺国际酒店、达旋酒店、赏悦酒店、梦莱乡情酒店或同档次酒店
                <w:br/>
                张家界：山间堂客栈、梦溪源酒店、百丈峡酒店、洞溪居客栈或同档次酒店
                <w:br/>
                凤凰古城：河岸假日、安怡、怡佳客栈、柏景郎庭或同档次酒店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2024-10-30T20:11:02+08:00</dcterms:created>
  <dcterms:modified xsi:type="dcterms:W3CDTF">2024-10-30T20:11:02+08:00</dcterms:modified>
</cp:coreProperties>
</file>

<file path=docProps/custom.xml><?xml version="1.0" encoding="utf-8"?>
<Properties xmlns="http://schemas.openxmlformats.org/officeDocument/2006/custom-properties" xmlns:vt="http://schemas.openxmlformats.org/officeDocument/2006/docPropsVTypes"/>
</file>