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Y3【爱达邮轮魔都号】上海-济州-福冈-上海行程单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RB15863578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上海登船 预计离港时间：16:00
                <w:br/>
                自行前往上海吴淞口国际邮轮码头，地址：上海市宝山区吴淞口宝杨路1号。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 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 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魔都号将于今晨抵达上海吴淞口国际邮轮码头，早餐后请各位办理离船手续，结束愉快的邮轮之旅。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1、邮轮港务费，魔都号所选舱房4晚船上住宿;
                <w:br/>
                2、领队服务费60元/人；
                <w:br/>
                3、赠送济州+福冈岸上游（岸上游期间不含餐）；
                <w:br/>
                4、邮轮上免费/自助餐厅、免费休闲娱乐设施、游泳池、健身房、及免费演出活动等。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3、出发地往返上海吴淞口码头交通；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2025-07-07T19:48:32+08:00</dcterms:created>
  <dcterms:modified xsi:type="dcterms:W3CDTF">2025-07-07T19:48:32+08:00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