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YN1744708098dB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游览：农贸市场/2大沙滩/越版象鼻山/狮子岛/海景十里画廊
                <w:br/>
                河内（巴亭广场+胡志明故居+独柱寺+圣约瑟夫大教堂）
                <w:br/>
                 打卡河内网红点：越南“威尼斯”欧洲小镇
                <w:br/>
                特别安排：河内深度游，体验越南三轮车深入探索36古街文化
                <w:br/>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越南酒店：下龙酒店3晚。（参考酒店：：savanna/下龙凤凰/新下龙/THE ONE酒店或其他同级）
                <w:br/>
                <w:br/>
                （行程中用房以安排两人间为标准，若出现自然单间时，我社尽量安排三人间或拼房，如酒店无三人间，若客人要求开单间，需要补交单人房差250元/人）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2025-07-08T19:44:36+08:00</dcterms:created>
  <dcterms:modified xsi:type="dcterms:W3CDTF">2025-07-08T19:44:36+08:00</dcterms:modified>
</cp:coreProperties>
</file>

<file path=docProps/custom.xml><?xml version="1.0" encoding="utf-8"?>
<Properties xmlns="http://schemas.openxmlformats.org/officeDocument/2006/custom-properties" xmlns:vt="http://schemas.openxmlformats.org/officeDocument/2006/docPropsVTypes"/>
</file>