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豪华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1、全程五晚曼谷、芭提雅酒店双人间(两人一房)，如出现单男单女，领队或导游采用拼房或加床处理，在不能调节的情况下，单男单女游客需自行补单房差。
                <w:br/>
                2、全程5早5正，早餐含于房费内，正餐餐标150泰铢/人，团餐不吃不退。如因用餐遇航班时间，餐费自理；
                <w:br/>
                3、行程所列的景点首道门票及当地行程用车；
                <w:br/>
                4、全程国际机票、机场税、燃油附加费；
                <w:br/>
                5、领队服务费30元/人。
                <w:br/>
                6、旅行社责任险。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2025-07-08T11:15:37+08:00</dcterms:created>
  <dcterms:modified xsi:type="dcterms:W3CDTF">2025-07-08T11:15:37+08:00</dcterms:modified>
</cp:coreProperties>
</file>

<file path=docProps/custom.xml><?xml version="1.0" encoding="utf-8"?>
<Properties xmlns="http://schemas.openxmlformats.org/officeDocument/2006/custom-properties" xmlns:vt="http://schemas.openxmlformats.org/officeDocument/2006/docPropsVTypes"/>
</file>