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午餐：龙脊特色餐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上午退房，这么美的景观房真的不想提早退房，在山上特色酸水鱼餐厅用餐。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10人、菜品略减、正餐标准30元/人；特别二餐龙脊特色餐，一餐火壮家“咩嫚”秘制山珍火堂围炉宴价值80元/人，一餐刘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（桂林段）港舍漫居/华谊/润东/烨华/象山商务/雅斯特系列/城市便捷系列/友游惠太子/格林豪泰/华公馆云涧等同档次酒店
                <w:br/>
                （阳朔段）海宸/谷雅026/万紫千红/山舍/紫薇国际/新月阁/锦绣/青云阁/六度/十里郎等同档次酒店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2025-02-05T16:54:14+08:00</dcterms:created>
  <dcterms:modified xsi:type="dcterms:W3CDTF">2025-02-05T16:54:14+08:00</dcterms:modified>
</cp:coreProperties>
</file>

<file path=docProps/custom.xml><?xml version="1.0" encoding="utf-8"?>
<Properties xmlns="http://schemas.openxmlformats.org/officeDocument/2006/custom-properties" xmlns:vt="http://schemas.openxmlformats.org/officeDocument/2006/docPropsVTypes"/>
</file>